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bookmarkEnd w:id="3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315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15BF8">
              <w:rPr>
                <w:b/>
                <w:sz w:val="22"/>
                <w:szCs w:val="22"/>
              </w:rPr>
              <w:t>Oprava plotů a bran areálu 3. ZŠ v ul. Boženy Němcové, Sokolov</w:t>
            </w:r>
            <w:r w:rsidR="00B324FD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315BF8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15BF8" w:rsidRDefault="00315BF8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Default="00315BF8" w:rsidP="00315BF8"/>
    <w:p w:rsidR="00FB4806" w:rsidRPr="00315BF8" w:rsidRDefault="00315BF8" w:rsidP="00315BF8">
      <w:pPr>
        <w:tabs>
          <w:tab w:val="left" w:pos="3399"/>
        </w:tabs>
      </w:pPr>
      <w:r>
        <w:tab/>
      </w:r>
    </w:p>
    <w:sectPr w:rsidR="00FB4806" w:rsidRPr="00315BF8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CF38BD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CF38BD">
      <w:fldChar w:fldCharType="begin"/>
    </w:r>
    <w:r w:rsidR="00CF38BD">
      <w:instrText>NUMPAGES  \* Arabic  \* MERGEFORMAT</w:instrText>
    </w:r>
    <w:r w:rsidR="00CF38BD">
      <w:fldChar w:fldCharType="separate"/>
    </w:r>
    <w:r w:rsidR="00CF38BD" w:rsidRPr="00CF38BD">
      <w:rPr>
        <w:rStyle w:val="slostrnky"/>
        <w:noProof/>
        <w:sz w:val="16"/>
        <w:szCs w:val="16"/>
      </w:rPr>
      <w:t>2</w:t>
    </w:r>
    <w:r w:rsidR="00CF38BD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0" w:rsidRDefault="008F2F6B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>„</w:t>
    </w:r>
    <w:r w:rsidR="00315BF8">
      <w:rPr>
        <w:i/>
        <w:sz w:val="18"/>
        <w:szCs w:val="18"/>
      </w:rPr>
      <w:t>Oprava plotů a bran areálu 3. ZŠ v ul. Boženy Němcové, Sokolov</w:t>
    </w:r>
    <w:r w:rsidR="00B324FD">
      <w:rPr>
        <w:i/>
        <w:sz w:val="18"/>
        <w:szCs w:val="18"/>
      </w:rPr>
      <w:t>“</w:t>
    </w:r>
  </w:p>
  <w:p w:rsidR="007C28B7" w:rsidRDefault="007C28B7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315BF8">
      <w:rPr>
        <w:i/>
        <w:sz w:val="18"/>
        <w:szCs w:val="18"/>
      </w:rPr>
      <w:t>6</w:t>
    </w:r>
    <w:r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C28B7" w:rsidRPr="00AB2DE0" w:rsidRDefault="007C28B7" w:rsidP="007C28B7">
    <w:pPr>
      <w:pStyle w:val="Zhlav"/>
      <w:jc w:val="right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Tr+7jFw6JxAoknH/tnQriwnzX4=" w:salt="iaiYXsD9GkPofchFUB/ur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BF8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7C7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8B7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24FD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8BD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7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11</cp:revision>
  <cp:lastPrinted>2016-08-24T06:44:00Z</cp:lastPrinted>
  <dcterms:created xsi:type="dcterms:W3CDTF">2016-09-23T12:41:00Z</dcterms:created>
  <dcterms:modified xsi:type="dcterms:W3CDTF">2017-02-10T10:31:00Z</dcterms:modified>
</cp:coreProperties>
</file>