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B37E" w14:textId="080BD4E8" w:rsidR="000D094A" w:rsidRDefault="000A3A76" w:rsidP="00BF748A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</w:t>
      </w:r>
      <w:r w:rsidR="000D094A">
        <w:rPr>
          <w:rFonts w:eastAsia="Times New Roman"/>
          <w:lang w:eastAsia="cs-CZ"/>
        </w:rPr>
        <w:t xml:space="preserve">onektivita </w:t>
      </w:r>
    </w:p>
    <w:p w14:paraId="40BBC7A2" w14:textId="4A504D5A" w:rsidR="000D094A" w:rsidRDefault="000D094A" w:rsidP="004F2D2C">
      <w:pPr>
        <w:spacing w:after="120"/>
        <w:jc w:val="both"/>
        <w:textAlignment w:val="center"/>
        <w:rPr>
          <w:rFonts w:eastAsia="Times New Roman"/>
          <w:lang w:eastAsia="cs-CZ"/>
        </w:rPr>
      </w:pPr>
      <w:r w:rsidRPr="004F2D2C">
        <w:rPr>
          <w:rFonts w:eastAsia="Times New Roman"/>
          <w:lang w:eastAsia="cs-CZ"/>
        </w:rPr>
        <w:t>Výběr technologie zajištění internetové konektivity musí splňovat požadavky na garantované reálné datové toky (Up/Down) definované v</w:t>
      </w:r>
      <w:r w:rsidR="00D71DB5">
        <w:rPr>
          <w:rFonts w:eastAsia="Times New Roman"/>
          <w:lang w:eastAsia="cs-CZ"/>
        </w:rPr>
        <w:t xml:space="preserve"> této </w:t>
      </w:r>
      <w:r w:rsidRPr="004F2D2C">
        <w:rPr>
          <w:rFonts w:eastAsia="Times New Roman"/>
          <w:lang w:eastAsia="cs-CZ"/>
        </w:rPr>
        <w:t>příloze č.</w:t>
      </w:r>
      <w:r w:rsidR="00740252">
        <w:rPr>
          <w:rFonts w:eastAsia="Times New Roman"/>
          <w:lang w:eastAsia="cs-CZ"/>
        </w:rPr>
        <w:t xml:space="preserve"> </w:t>
      </w:r>
      <w:r w:rsidR="00430DBD">
        <w:rPr>
          <w:rFonts w:eastAsia="Times New Roman"/>
          <w:lang w:eastAsia="cs-CZ"/>
        </w:rPr>
        <w:t>2</w:t>
      </w:r>
      <w:r w:rsidRPr="004F2D2C">
        <w:rPr>
          <w:rFonts w:eastAsia="Times New Roman"/>
          <w:lang w:eastAsia="cs-CZ"/>
        </w:rPr>
        <w:t xml:space="preserve">. </w:t>
      </w:r>
      <w:r w:rsidR="004F2D2C" w:rsidRPr="004F2D2C">
        <w:rPr>
          <w:rFonts w:eastAsia="Times New Roman"/>
          <w:lang w:eastAsia="cs-CZ"/>
        </w:rPr>
        <w:t>Součástí řešení je poskytnutí 6</w:t>
      </w:r>
      <w:r w:rsidR="00EF613D">
        <w:rPr>
          <w:rFonts w:eastAsia="Times New Roman"/>
          <w:lang w:eastAsia="cs-CZ"/>
        </w:rPr>
        <w:t>4</w:t>
      </w:r>
      <w:r w:rsidR="004F2D2C" w:rsidRPr="004F2D2C">
        <w:rPr>
          <w:rFonts w:eastAsia="Times New Roman"/>
          <w:lang w:eastAsia="cs-CZ"/>
        </w:rPr>
        <w:t xml:space="preserve"> ks</w:t>
      </w:r>
      <w:r w:rsidR="00BB2F13">
        <w:rPr>
          <w:rFonts w:eastAsia="Times New Roman"/>
          <w:lang w:eastAsia="cs-CZ"/>
        </w:rPr>
        <w:t xml:space="preserve"> (2x32 v bloku)</w:t>
      </w:r>
      <w:r w:rsidR="004F2D2C" w:rsidRPr="004F2D2C">
        <w:rPr>
          <w:rFonts w:eastAsia="Times New Roman"/>
          <w:lang w:eastAsia="cs-CZ"/>
        </w:rPr>
        <w:t xml:space="preserve"> veřejných IP adres, </w:t>
      </w:r>
      <w:r w:rsidR="005E0E92">
        <w:rPr>
          <w:rFonts w:eastAsia="Times New Roman"/>
          <w:lang w:eastAsia="cs-CZ"/>
        </w:rPr>
        <w:t>viz</w:t>
      </w:r>
      <w:r w:rsidR="004F2D2C" w:rsidRPr="004F2D2C">
        <w:rPr>
          <w:rFonts w:eastAsia="Times New Roman"/>
          <w:lang w:eastAsia="cs-CZ"/>
        </w:rPr>
        <w:t xml:space="preserve">  přílo</w:t>
      </w:r>
      <w:r w:rsidR="005E0E92">
        <w:rPr>
          <w:rFonts w:eastAsia="Times New Roman"/>
          <w:lang w:eastAsia="cs-CZ"/>
        </w:rPr>
        <w:t>ha</w:t>
      </w:r>
      <w:r w:rsidR="004F2D2C" w:rsidRPr="004F2D2C">
        <w:rPr>
          <w:rFonts w:eastAsia="Times New Roman"/>
          <w:lang w:eastAsia="cs-CZ"/>
        </w:rPr>
        <w:t xml:space="preserve"> č. </w:t>
      </w:r>
      <w:r w:rsidR="00430DBD">
        <w:rPr>
          <w:rFonts w:eastAsia="Times New Roman"/>
          <w:lang w:eastAsia="cs-CZ"/>
        </w:rPr>
        <w:t>1</w:t>
      </w:r>
      <w:r w:rsidR="004F2D2C" w:rsidRPr="004F2D2C">
        <w:rPr>
          <w:rFonts w:eastAsia="Times New Roman"/>
          <w:lang w:eastAsia="cs-CZ"/>
        </w:rPr>
        <w:t xml:space="preserve"> </w:t>
      </w:r>
      <w:r w:rsidR="00430DBD">
        <w:rPr>
          <w:rFonts w:eastAsia="Times New Roman"/>
          <w:lang w:eastAsia="cs-CZ"/>
        </w:rPr>
        <w:t>smlouvy</w:t>
      </w:r>
      <w:r w:rsidR="00D71DB5">
        <w:rPr>
          <w:rFonts w:eastAsia="Times New Roman"/>
          <w:lang w:eastAsia="cs-CZ"/>
        </w:rPr>
        <w:t xml:space="preserve"> o dílo</w:t>
      </w:r>
      <w:r w:rsidR="00081B61">
        <w:rPr>
          <w:rFonts w:eastAsia="Times New Roman"/>
          <w:lang w:eastAsia="cs-CZ"/>
        </w:rPr>
        <w:t>.</w:t>
      </w:r>
    </w:p>
    <w:p w14:paraId="05B46185" w14:textId="4B347F51" w:rsidR="0033131A" w:rsidRDefault="0033131A" w:rsidP="004F2D2C">
      <w:pPr>
        <w:spacing w:after="120"/>
        <w:jc w:val="both"/>
        <w:textAlignment w:val="center"/>
        <w:rPr>
          <w:rFonts w:eastAsia="Times New Roman"/>
          <w:lang w:eastAsia="cs-CZ"/>
        </w:rPr>
      </w:pPr>
      <w:bookmarkStart w:id="0" w:name="_Hlk97631351"/>
      <w:r>
        <w:rPr>
          <w:rFonts w:eastAsia="Times New Roman"/>
          <w:lang w:eastAsia="cs-CZ"/>
        </w:rPr>
        <w:t xml:space="preserve">V případě nutnosti změny veřejných I.P. adres, bude objednatel požadovat rekonfiguraci pravidel na Firewallu </w:t>
      </w:r>
      <w:r w:rsidR="00E91F7A">
        <w:rPr>
          <w:rFonts w:eastAsia="Times New Roman"/>
          <w:lang w:eastAsia="cs-CZ"/>
        </w:rPr>
        <w:t>Checkpoint od autorizovaného</w:t>
      </w:r>
      <w:r w:rsidR="00006A44">
        <w:rPr>
          <w:rFonts w:eastAsia="Times New Roman"/>
          <w:lang w:eastAsia="cs-CZ"/>
        </w:rPr>
        <w:t xml:space="preserve"> administrátora ( alespoň úroveň </w:t>
      </w:r>
      <w:r w:rsidR="00006A44" w:rsidRPr="00006A44">
        <w:rPr>
          <w:rFonts w:eastAsia="Times New Roman"/>
          <w:lang w:eastAsia="cs-CZ"/>
        </w:rPr>
        <w:t>CCSA - Check Point Certified Security Administrator R81</w:t>
      </w:r>
      <w:r w:rsidR="00006A44">
        <w:rPr>
          <w:rFonts w:eastAsia="Times New Roman"/>
          <w:lang w:eastAsia="cs-CZ"/>
        </w:rPr>
        <w:t>)</w:t>
      </w:r>
      <w:r w:rsidR="00657DCD">
        <w:rPr>
          <w:rFonts w:eastAsia="Times New Roman"/>
          <w:lang w:eastAsia="cs-CZ"/>
        </w:rPr>
        <w:t>.</w:t>
      </w:r>
      <w:r w:rsidR="00E91F7A">
        <w:rPr>
          <w:rFonts w:eastAsia="Times New Roman"/>
          <w:lang w:eastAsia="cs-CZ"/>
        </w:rPr>
        <w:t xml:space="preserve"> T</w:t>
      </w:r>
      <w:r w:rsidR="00657DCD">
        <w:rPr>
          <w:rFonts w:eastAsia="Times New Roman"/>
          <w:lang w:eastAsia="cs-CZ"/>
        </w:rPr>
        <w:t>en</w:t>
      </w:r>
      <w:r w:rsidR="00E91F7A">
        <w:rPr>
          <w:rFonts w:eastAsia="Times New Roman"/>
          <w:lang w:eastAsia="cs-CZ"/>
        </w:rPr>
        <w:t xml:space="preserve">to náklad pak poskytovatel zahrne do celkové ceny ve smlouvě. </w:t>
      </w:r>
    </w:p>
    <w:bookmarkEnd w:id="0"/>
    <w:p w14:paraId="3A1822DC" w14:textId="1706B458" w:rsidR="001F2FD1" w:rsidRDefault="001F2FD1" w:rsidP="004F2D2C">
      <w:pPr>
        <w:spacing w:after="120"/>
        <w:jc w:val="both"/>
        <w:textAlignment w:val="center"/>
        <w:rPr>
          <w:rFonts w:eastAsia="Times New Roman"/>
          <w:lang w:eastAsia="cs-CZ"/>
        </w:rPr>
      </w:pPr>
      <w:r w:rsidRPr="001F2FD1">
        <w:rPr>
          <w:rFonts w:eastAsia="Times New Roman"/>
          <w:lang w:eastAsia="cs-CZ"/>
        </w:rPr>
        <w:t xml:space="preserve">Zajištění reverzních DNS záznamů dle požadavků </w:t>
      </w:r>
      <w:r w:rsidR="00D71DB5">
        <w:rPr>
          <w:rFonts w:eastAsia="Times New Roman"/>
          <w:lang w:eastAsia="cs-CZ"/>
        </w:rPr>
        <w:t>objednatele</w:t>
      </w:r>
      <w:r w:rsidRPr="001F2FD1">
        <w:rPr>
          <w:rFonts w:eastAsia="Times New Roman"/>
          <w:lang w:eastAsia="cs-CZ"/>
        </w:rPr>
        <w:t>, a to pro primární i sekundární konektivitu na zvolené IP adresy</w:t>
      </w:r>
      <w:r>
        <w:rPr>
          <w:rFonts w:eastAsia="Times New Roman"/>
          <w:lang w:eastAsia="cs-CZ"/>
        </w:rPr>
        <w:t>.</w:t>
      </w:r>
    </w:p>
    <w:p w14:paraId="7EE66A0A" w14:textId="5116B685" w:rsidR="00291FDE" w:rsidRDefault="00291FDE" w:rsidP="004F2D2C">
      <w:pPr>
        <w:spacing w:after="120"/>
        <w:jc w:val="both"/>
        <w:textAlignment w:val="center"/>
        <w:rPr>
          <w:lang w:eastAsia="cs-CZ"/>
        </w:rPr>
      </w:pPr>
      <w:r w:rsidRPr="00674BF2">
        <w:rPr>
          <w:lang w:eastAsia="cs-CZ"/>
        </w:rPr>
        <w:t>Součástí dodávky musí být veškerá potřebná kabeláž pro terminaci v požadovaném místě</w:t>
      </w:r>
      <w:r w:rsidR="00EF613D">
        <w:rPr>
          <w:lang w:eastAsia="cs-CZ"/>
        </w:rPr>
        <w:t>.</w:t>
      </w:r>
      <w:r w:rsidRPr="00C56A73">
        <w:rPr>
          <w:lang w:eastAsia="cs-CZ"/>
        </w:rPr>
        <w:t xml:space="preserve"> Zakončení bude </w:t>
      </w:r>
      <w:r w:rsidR="00B00CC9">
        <w:rPr>
          <w:lang w:eastAsia="cs-CZ"/>
        </w:rPr>
        <w:t>konektorem LC</w:t>
      </w:r>
      <w:r w:rsidRPr="00C56A73">
        <w:rPr>
          <w:lang w:eastAsia="cs-CZ"/>
        </w:rPr>
        <w:t>.</w:t>
      </w:r>
    </w:p>
    <w:p w14:paraId="687EF9D1" w14:textId="77777777" w:rsidR="009237D8" w:rsidRPr="00674BF2" w:rsidRDefault="009237D8" w:rsidP="004F2D2C">
      <w:pPr>
        <w:spacing w:after="120"/>
        <w:jc w:val="both"/>
        <w:textAlignment w:val="center"/>
        <w:rPr>
          <w:lang w:eastAsia="cs-CZ"/>
        </w:rPr>
      </w:pPr>
    </w:p>
    <w:p w14:paraId="6A42AE40" w14:textId="77777777" w:rsidR="000D094A" w:rsidRDefault="00BE2D61" w:rsidP="00BE2D61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Dostupnost a úroveň služby</w:t>
      </w:r>
    </w:p>
    <w:p w14:paraId="1B23B999" w14:textId="77777777" w:rsidR="000D094A" w:rsidRPr="00BE2D61" w:rsidRDefault="000D094A" w:rsidP="00BE2D61">
      <w:pPr>
        <w:spacing w:before="240" w:after="120"/>
        <w:jc w:val="both"/>
        <w:textAlignment w:val="center"/>
        <w:rPr>
          <w:rFonts w:eastAsia="Times New Roman"/>
          <w:lang w:eastAsia="cs-CZ"/>
        </w:rPr>
      </w:pPr>
      <w:r w:rsidRPr="00BE2D61">
        <w:rPr>
          <w:rFonts w:eastAsia="Times New Roman"/>
          <w:lang w:eastAsia="cs-CZ"/>
        </w:rPr>
        <w:t xml:space="preserve">Parametry SLA – požadovaná </w:t>
      </w:r>
      <w:r w:rsidR="00BE2D61" w:rsidRPr="00BE2D61">
        <w:rPr>
          <w:rFonts w:eastAsia="Times New Roman"/>
          <w:lang w:eastAsia="cs-CZ"/>
        </w:rPr>
        <w:t xml:space="preserve">měsíční </w:t>
      </w:r>
      <w:r w:rsidRPr="00BE2D61">
        <w:rPr>
          <w:rFonts w:eastAsia="Times New Roman"/>
          <w:lang w:eastAsia="cs-CZ"/>
        </w:rPr>
        <w:t>dostupnost služby je 99,</w:t>
      </w:r>
      <w:r w:rsidR="00EF613D">
        <w:rPr>
          <w:rFonts w:eastAsia="Times New Roman"/>
          <w:lang w:eastAsia="cs-CZ"/>
        </w:rPr>
        <w:t>5</w:t>
      </w:r>
      <w:r w:rsidRPr="00BE2D61">
        <w:rPr>
          <w:rFonts w:eastAsia="Times New Roman"/>
          <w:lang w:eastAsia="cs-CZ"/>
        </w:rPr>
        <w:t>% pro koncový bod.</w:t>
      </w:r>
    </w:p>
    <w:p w14:paraId="4493EF15" w14:textId="77777777" w:rsidR="00484A35" w:rsidRPr="004F2D2C" w:rsidRDefault="00484A35" w:rsidP="00484A35">
      <w:pPr>
        <w:jc w:val="both"/>
      </w:pPr>
      <w:r w:rsidRPr="004F2D2C">
        <w:t>Dostupnost služby se sleduje v</w:t>
      </w:r>
      <w:r w:rsidR="001D1826" w:rsidRPr="004F2D2C">
        <w:t> </w:t>
      </w:r>
      <w:r w:rsidRPr="004F2D2C">
        <w:t>mě</w:t>
      </w:r>
      <w:r w:rsidR="001D1826" w:rsidRPr="004F2D2C">
        <w:t>síčním intervalu. Pro určení dostupnosti služby v kalendářním měsíci se použije následující vzorec:</w:t>
      </w:r>
    </w:p>
    <w:p w14:paraId="7A47E3EC" w14:textId="77777777" w:rsidR="001D1826" w:rsidRPr="004F2D2C" w:rsidRDefault="001D1826" w:rsidP="001D1826">
      <w:pPr>
        <w:jc w:val="center"/>
        <w:rPr>
          <w:rFonts w:eastAsiaTheme="minorEastAsia"/>
        </w:rPr>
      </w:pPr>
      <w:r w:rsidRPr="004F2D2C">
        <w:t xml:space="preserve">dostupnost služby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(P-N)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P</m:t>
            </m:r>
          </m:den>
        </m:f>
      </m:oMath>
      <w:r w:rsidRPr="004F2D2C">
        <w:rPr>
          <w:rFonts w:eastAsiaTheme="minorEastAsia"/>
        </w:rPr>
        <w:t xml:space="preserve"> x 100%</w:t>
      </w:r>
    </w:p>
    <w:p w14:paraId="32FFD922" w14:textId="77777777" w:rsidR="001D1826" w:rsidRPr="004F2D2C" w:rsidRDefault="001D1826" w:rsidP="001D1826">
      <w:r w:rsidRPr="004F2D2C">
        <w:rPr>
          <w:rFonts w:eastAsiaTheme="minorEastAsia"/>
        </w:rPr>
        <w:t xml:space="preserve">přičemž P značí </w:t>
      </w:r>
      <w:r w:rsidR="004E61D2" w:rsidRPr="004F2D2C">
        <w:rPr>
          <w:rFonts w:eastAsiaTheme="minorEastAsia"/>
        </w:rPr>
        <w:t xml:space="preserve">dobu, po kterou měla být služba </w:t>
      </w:r>
      <w:r w:rsidR="004D3A41" w:rsidRPr="004F2D2C">
        <w:rPr>
          <w:rFonts w:eastAsiaTheme="minorEastAsia"/>
        </w:rPr>
        <w:t>dle smlouvy poskytována</w:t>
      </w:r>
      <w:r w:rsidR="004E61D2" w:rsidRPr="004F2D2C">
        <w:rPr>
          <w:rFonts w:eastAsiaTheme="minorEastAsia"/>
        </w:rPr>
        <w:t>. N značí dobu</w:t>
      </w:r>
      <w:r w:rsidR="004D3A41" w:rsidRPr="004F2D2C">
        <w:rPr>
          <w:rFonts w:eastAsiaTheme="minorEastAsia"/>
        </w:rPr>
        <w:t xml:space="preserve">, po kterou nemohl </w:t>
      </w:r>
      <w:r w:rsidR="00291FDE" w:rsidRPr="004F2D2C">
        <w:rPr>
          <w:rFonts w:eastAsiaTheme="minorEastAsia"/>
        </w:rPr>
        <w:t>zadavatel službu řádně využívat z důvodu na straně poskytovatele.</w:t>
      </w:r>
      <w:r w:rsidR="004E61D2" w:rsidRPr="004F2D2C">
        <w:rPr>
          <w:rFonts w:eastAsiaTheme="minorEastAsia"/>
        </w:rPr>
        <w:t xml:space="preserve"> </w:t>
      </w:r>
    </w:p>
    <w:p w14:paraId="1C39C5B2" w14:textId="77777777" w:rsidR="00BE2D61" w:rsidRPr="004F2D2C" w:rsidRDefault="00BB49DD" w:rsidP="00BB49DD">
      <w:pPr>
        <w:spacing w:after="120"/>
        <w:jc w:val="both"/>
        <w:textAlignment w:val="center"/>
      </w:pPr>
      <w:r w:rsidRPr="00DE5026">
        <w:t>Část období (N), ve kterém nebyla služba dodána, nebude účtována. Navíc v</w:t>
      </w:r>
      <w:r w:rsidR="00BE2D61" w:rsidRPr="00DE5026">
        <w:t xml:space="preserve"> případě nedodržení </w:t>
      </w:r>
      <w:r w:rsidRPr="00DE5026">
        <w:t xml:space="preserve">minimální </w:t>
      </w:r>
      <w:r w:rsidR="00484A35" w:rsidRPr="00DE5026">
        <w:t xml:space="preserve">měsíční dostupnosti služby </w:t>
      </w:r>
      <w:r w:rsidR="00870155" w:rsidRPr="00DE5026">
        <w:t xml:space="preserve">je poskytovatel povinen uhradit objednateli smluvní pokutu, jejíž výše se určí </w:t>
      </w:r>
      <w:r w:rsidR="00484A35" w:rsidRPr="00DE5026">
        <w:t xml:space="preserve">jako procentní </w:t>
      </w:r>
      <w:r w:rsidR="00016E04" w:rsidRPr="00DE5026">
        <w:t xml:space="preserve">snížení </w:t>
      </w:r>
      <w:r w:rsidR="00484A35" w:rsidRPr="00DE5026">
        <w:t xml:space="preserve">pravidelné měsíční ceny služby </w:t>
      </w:r>
      <w:r w:rsidR="00870155" w:rsidRPr="00DE5026">
        <w:t>takto:</w:t>
      </w:r>
    </w:p>
    <w:p w14:paraId="6F61F70E" w14:textId="77777777" w:rsidR="00BE2D61" w:rsidRPr="004F2D2C" w:rsidRDefault="00BE2D61" w:rsidP="00BE2D61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</w:tblGrid>
      <w:tr w:rsidR="000A3A76" w:rsidRPr="004F2D2C" w14:paraId="7CB6B130" w14:textId="77777777" w:rsidTr="002C6908">
        <w:trPr>
          <w:trHeight w:val="110"/>
        </w:trPr>
        <w:tc>
          <w:tcPr>
            <w:tcW w:w="6629" w:type="dxa"/>
          </w:tcPr>
          <w:p w14:paraId="1C4FD989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Měsíční dostupnost služby </w:t>
            </w:r>
          </w:p>
        </w:tc>
        <w:tc>
          <w:tcPr>
            <w:tcW w:w="2551" w:type="dxa"/>
          </w:tcPr>
          <w:p w14:paraId="3E592394" w14:textId="77777777" w:rsidR="000A3A76" w:rsidRPr="004F2D2C" w:rsidRDefault="00B3673C" w:rsidP="00BE2D6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Smluvní pokuta</w:t>
            </w:r>
            <w:r w:rsidR="000A3A76"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A3A76" w:rsidRPr="004F2D2C" w14:paraId="1A0FD835" w14:textId="77777777" w:rsidTr="002C6908">
        <w:trPr>
          <w:trHeight w:val="110"/>
        </w:trPr>
        <w:tc>
          <w:tcPr>
            <w:tcW w:w="6629" w:type="dxa"/>
          </w:tcPr>
          <w:p w14:paraId="07B88922" w14:textId="77777777" w:rsidR="000A3A76" w:rsidRPr="004F2D2C" w:rsidRDefault="000A3A76" w:rsidP="00EF61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sz w:val="22"/>
                <w:szCs w:val="22"/>
              </w:rPr>
              <w:t>Dostupnost 99,</w:t>
            </w:r>
            <w:r w:rsidR="00EF613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F2D2C">
              <w:rPr>
                <w:rFonts w:ascii="Times New Roman" w:hAnsi="Times New Roman" w:cs="Times New Roman"/>
                <w:sz w:val="22"/>
                <w:szCs w:val="22"/>
              </w:rPr>
              <w:t xml:space="preserve">% - 99,0% vč. </w:t>
            </w:r>
          </w:p>
        </w:tc>
        <w:tc>
          <w:tcPr>
            <w:tcW w:w="2551" w:type="dxa"/>
          </w:tcPr>
          <w:p w14:paraId="4D719938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5% </w:t>
            </w:r>
          </w:p>
        </w:tc>
      </w:tr>
      <w:tr w:rsidR="000A3A76" w:rsidRPr="004F2D2C" w14:paraId="562F111A" w14:textId="77777777" w:rsidTr="002C6908">
        <w:trPr>
          <w:trHeight w:val="110"/>
        </w:trPr>
        <w:tc>
          <w:tcPr>
            <w:tcW w:w="6629" w:type="dxa"/>
          </w:tcPr>
          <w:p w14:paraId="6CE61B14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sz w:val="22"/>
                <w:szCs w:val="22"/>
              </w:rPr>
              <w:t xml:space="preserve">Dostupnost 99,0% - 97,0% vč. </w:t>
            </w:r>
          </w:p>
        </w:tc>
        <w:tc>
          <w:tcPr>
            <w:tcW w:w="2551" w:type="dxa"/>
          </w:tcPr>
          <w:p w14:paraId="52A9C673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10% </w:t>
            </w:r>
          </w:p>
        </w:tc>
      </w:tr>
      <w:tr w:rsidR="000A3A76" w:rsidRPr="004F2D2C" w14:paraId="74CE222E" w14:textId="77777777" w:rsidTr="002C6908">
        <w:trPr>
          <w:trHeight w:val="110"/>
        </w:trPr>
        <w:tc>
          <w:tcPr>
            <w:tcW w:w="6629" w:type="dxa"/>
          </w:tcPr>
          <w:p w14:paraId="66AFFECA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sz w:val="22"/>
                <w:szCs w:val="22"/>
              </w:rPr>
              <w:t xml:space="preserve">Dostupnost 97,0% - 95,0% vč. </w:t>
            </w:r>
          </w:p>
        </w:tc>
        <w:tc>
          <w:tcPr>
            <w:tcW w:w="2551" w:type="dxa"/>
          </w:tcPr>
          <w:p w14:paraId="08CE7E40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20% </w:t>
            </w:r>
          </w:p>
        </w:tc>
      </w:tr>
      <w:tr w:rsidR="000A3A76" w:rsidRPr="004F2D2C" w14:paraId="1D0ABE5A" w14:textId="77777777" w:rsidTr="002C6908">
        <w:trPr>
          <w:trHeight w:val="110"/>
        </w:trPr>
        <w:tc>
          <w:tcPr>
            <w:tcW w:w="6629" w:type="dxa"/>
          </w:tcPr>
          <w:p w14:paraId="2302431C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sz w:val="22"/>
                <w:szCs w:val="22"/>
              </w:rPr>
              <w:t xml:space="preserve">Dostupnost 95,0% a menší </w:t>
            </w:r>
          </w:p>
        </w:tc>
        <w:tc>
          <w:tcPr>
            <w:tcW w:w="2551" w:type="dxa"/>
          </w:tcPr>
          <w:p w14:paraId="28D56184" w14:textId="77777777" w:rsidR="000A3A76" w:rsidRPr="004F2D2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F2D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30% </w:t>
            </w:r>
          </w:p>
        </w:tc>
      </w:tr>
      <w:tr w:rsidR="000A3A76" w:rsidRPr="00BE2D61" w14:paraId="55353E9A" w14:textId="77777777" w:rsidTr="002C6908">
        <w:trPr>
          <w:trHeight w:val="110"/>
        </w:trPr>
        <w:tc>
          <w:tcPr>
            <w:tcW w:w="9180" w:type="dxa"/>
            <w:gridSpan w:val="2"/>
          </w:tcPr>
          <w:p w14:paraId="40353B6B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Doba provádění plánované údržby </w:t>
            </w:r>
          </w:p>
        </w:tc>
      </w:tr>
      <w:tr w:rsidR="000A3A76" w:rsidRPr="00BE2D61" w14:paraId="400C2099" w14:textId="77777777" w:rsidTr="002C6908">
        <w:trPr>
          <w:trHeight w:val="244"/>
        </w:trPr>
        <w:tc>
          <w:tcPr>
            <w:tcW w:w="6629" w:type="dxa"/>
          </w:tcPr>
          <w:p w14:paraId="76AF85C4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povinnost hlásit údržbu předem (kalendářní dny) - minimum </w:t>
            </w:r>
          </w:p>
        </w:tc>
        <w:tc>
          <w:tcPr>
            <w:tcW w:w="2551" w:type="dxa"/>
          </w:tcPr>
          <w:p w14:paraId="46AB98A7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0A3A76" w:rsidRPr="00BE2D61" w14:paraId="38E71C0A" w14:textId="77777777" w:rsidTr="002C6908">
        <w:trPr>
          <w:trHeight w:val="110"/>
        </w:trPr>
        <w:tc>
          <w:tcPr>
            <w:tcW w:w="6629" w:type="dxa"/>
          </w:tcPr>
          <w:p w14:paraId="2C4B76EF" w14:textId="77777777" w:rsidR="000A3A76" w:rsidRPr="00914C3C" w:rsidRDefault="00870155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pokuta</w:t>
            </w: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A76"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za nedodržení termínu </w:t>
            </w:r>
          </w:p>
        </w:tc>
        <w:tc>
          <w:tcPr>
            <w:tcW w:w="2551" w:type="dxa"/>
          </w:tcPr>
          <w:p w14:paraId="661E7122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4% </w:t>
            </w:r>
          </w:p>
        </w:tc>
      </w:tr>
      <w:tr w:rsidR="000A3A76" w:rsidRPr="00BE2D61" w14:paraId="400E5741" w14:textId="77777777" w:rsidTr="002C6908">
        <w:trPr>
          <w:trHeight w:val="110"/>
        </w:trPr>
        <w:tc>
          <w:tcPr>
            <w:tcW w:w="9180" w:type="dxa"/>
            <w:gridSpan w:val="2"/>
          </w:tcPr>
          <w:p w14:paraId="152B7AAF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Maximální počet prováděných servisních prací </w:t>
            </w:r>
          </w:p>
        </w:tc>
      </w:tr>
      <w:tr w:rsidR="000A3A76" w:rsidRPr="00BE2D61" w14:paraId="74B6D059" w14:textId="77777777" w:rsidTr="002C6908">
        <w:trPr>
          <w:trHeight w:val="110"/>
        </w:trPr>
        <w:tc>
          <w:tcPr>
            <w:tcW w:w="6629" w:type="dxa"/>
          </w:tcPr>
          <w:p w14:paraId="01361DA0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maximální počet servisních prací za měsíc </w:t>
            </w:r>
          </w:p>
        </w:tc>
        <w:tc>
          <w:tcPr>
            <w:tcW w:w="2551" w:type="dxa"/>
          </w:tcPr>
          <w:p w14:paraId="141B41C5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</w:tr>
      <w:tr w:rsidR="000A3A76" w:rsidRPr="00BE2D61" w14:paraId="089B2090" w14:textId="77777777" w:rsidTr="002C6908">
        <w:trPr>
          <w:trHeight w:val="110"/>
        </w:trPr>
        <w:tc>
          <w:tcPr>
            <w:tcW w:w="6629" w:type="dxa"/>
          </w:tcPr>
          <w:p w14:paraId="2463CB00" w14:textId="77777777" w:rsidR="000A3A76" w:rsidRPr="00914C3C" w:rsidRDefault="00870155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pokuta</w:t>
            </w:r>
            <w:r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A76" w:rsidRPr="00914C3C">
              <w:rPr>
                <w:rFonts w:ascii="Times New Roman" w:hAnsi="Times New Roman" w:cs="Times New Roman"/>
                <w:sz w:val="22"/>
                <w:szCs w:val="22"/>
              </w:rPr>
              <w:t xml:space="preserve">za každou další servisní práci </w:t>
            </w:r>
          </w:p>
        </w:tc>
        <w:tc>
          <w:tcPr>
            <w:tcW w:w="2551" w:type="dxa"/>
          </w:tcPr>
          <w:p w14:paraId="236F8702" w14:textId="77777777" w:rsidR="000A3A76" w:rsidRPr="00914C3C" w:rsidRDefault="000A3A76" w:rsidP="000254E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4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4% </w:t>
            </w:r>
          </w:p>
        </w:tc>
      </w:tr>
    </w:tbl>
    <w:p w14:paraId="423CD6B4" w14:textId="77777777" w:rsidR="000D094A" w:rsidRDefault="000D7236" w:rsidP="002C6908">
      <w:pPr>
        <w:spacing w:before="240" w:after="120" w:line="240" w:lineRule="auto"/>
        <w:textAlignment w:val="center"/>
        <w:rPr>
          <w:lang w:eastAsia="cs-CZ"/>
        </w:rPr>
      </w:pPr>
      <w:r>
        <w:rPr>
          <w:lang w:eastAsia="cs-CZ"/>
        </w:rPr>
        <w:t>Nedodržení měsíční dostupnosti nastává okamžikem nedodrže</w:t>
      </w:r>
      <w:r w:rsidR="00451A20">
        <w:rPr>
          <w:lang w:eastAsia="cs-CZ"/>
        </w:rPr>
        <w:t>ní smluvních parametrů služby.</w:t>
      </w:r>
    </w:p>
    <w:p w14:paraId="33059F8B" w14:textId="77777777" w:rsidR="00451A20" w:rsidRDefault="00451A20" w:rsidP="002C6908">
      <w:pPr>
        <w:spacing w:before="240" w:after="120" w:line="240" w:lineRule="auto"/>
        <w:textAlignment w:val="center"/>
        <w:rPr>
          <w:lang w:eastAsia="cs-CZ"/>
        </w:rPr>
      </w:pPr>
    </w:p>
    <w:p w14:paraId="79C65D67" w14:textId="77777777" w:rsidR="009237D8" w:rsidRDefault="009237D8" w:rsidP="002C6908">
      <w:pPr>
        <w:spacing w:before="240" w:after="120" w:line="240" w:lineRule="auto"/>
        <w:textAlignment w:val="center"/>
        <w:rPr>
          <w:lang w:eastAsia="cs-CZ"/>
        </w:rPr>
      </w:pPr>
    </w:p>
    <w:p w14:paraId="49FA2450" w14:textId="77777777" w:rsidR="00271A21" w:rsidRDefault="00271A21" w:rsidP="000C2DBB">
      <w:pPr>
        <w:pStyle w:val="Nadpis1"/>
      </w:pPr>
      <w:r>
        <w:lastRenderedPageBreak/>
        <w:t xml:space="preserve">Monitoring </w:t>
      </w:r>
      <w:r w:rsidR="00775A21">
        <w:t>poskytované služby</w:t>
      </w:r>
      <w:r>
        <w:t xml:space="preserve"> </w:t>
      </w:r>
    </w:p>
    <w:p w14:paraId="1C50007C" w14:textId="460CB9BC" w:rsidR="00291FDE" w:rsidRDefault="00D71DB5" w:rsidP="000C2DBB">
      <w:pPr>
        <w:spacing w:after="120"/>
        <w:jc w:val="both"/>
        <w:textAlignment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Poskytovatele je povinen provádět</w:t>
      </w:r>
      <w:r w:rsidR="000C2DBB" w:rsidRPr="000C2DBB">
        <w:rPr>
          <w:rFonts w:eastAsia="Times New Roman"/>
          <w:lang w:eastAsia="cs-CZ"/>
        </w:rPr>
        <w:t xml:space="preserve"> online dohled na</w:t>
      </w:r>
      <w:r>
        <w:rPr>
          <w:rFonts w:eastAsia="Times New Roman"/>
          <w:lang w:eastAsia="cs-CZ"/>
        </w:rPr>
        <w:t>d</w:t>
      </w:r>
      <w:r w:rsidR="000C2DBB" w:rsidRPr="000C2DBB">
        <w:rPr>
          <w:rFonts w:eastAsia="Times New Roman"/>
          <w:lang w:eastAsia="cs-CZ"/>
        </w:rPr>
        <w:t xml:space="preserve"> poskytovan</w:t>
      </w:r>
      <w:r>
        <w:rPr>
          <w:rFonts w:eastAsia="Times New Roman"/>
          <w:lang w:eastAsia="cs-CZ"/>
        </w:rPr>
        <w:t>ou</w:t>
      </w:r>
      <w:r w:rsidR="000C2DBB" w:rsidRPr="000C2DBB">
        <w:rPr>
          <w:rFonts w:eastAsia="Times New Roman"/>
          <w:lang w:eastAsia="cs-CZ"/>
        </w:rPr>
        <w:t xml:space="preserve"> služb</w:t>
      </w:r>
      <w:r>
        <w:rPr>
          <w:rFonts w:eastAsia="Times New Roman"/>
          <w:lang w:eastAsia="cs-CZ"/>
        </w:rPr>
        <w:t>ou</w:t>
      </w:r>
      <w:r w:rsidR="00840A65">
        <w:rPr>
          <w:rFonts w:eastAsia="Times New Roman"/>
          <w:lang w:eastAsia="cs-CZ"/>
        </w:rPr>
        <w:t xml:space="preserve"> prostřednictvím </w:t>
      </w:r>
      <w:r w:rsidR="00840A65" w:rsidRPr="00840A65">
        <w:rPr>
          <w:rFonts w:eastAsia="Times New Roman"/>
          <w:lang w:eastAsia="cs-CZ"/>
        </w:rPr>
        <w:t xml:space="preserve">vlastního Call centra v režimu 24x7x365 a </w:t>
      </w:r>
      <w:r>
        <w:rPr>
          <w:rFonts w:eastAsia="Times New Roman"/>
          <w:lang w:eastAsia="cs-CZ"/>
        </w:rPr>
        <w:t xml:space="preserve">umožnit objednateli </w:t>
      </w:r>
      <w:r w:rsidR="00840A65" w:rsidRPr="00840A65">
        <w:rPr>
          <w:rFonts w:eastAsia="Times New Roman"/>
          <w:lang w:eastAsia="cs-CZ"/>
        </w:rPr>
        <w:t>přístup na webový portál servicedesku</w:t>
      </w:r>
      <w:r w:rsidR="006E52FA">
        <w:rPr>
          <w:rFonts w:eastAsia="Times New Roman"/>
          <w:lang w:eastAsia="cs-CZ"/>
        </w:rPr>
        <w:t>, vše v režimu přílohy č. 1 smlouvy o dílo.</w:t>
      </w:r>
    </w:p>
    <w:p w14:paraId="442F4C58" w14:textId="77777777" w:rsidR="00271A21" w:rsidRPr="00914C3C" w:rsidRDefault="00271A21" w:rsidP="00271A2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Základní parametry </w:t>
      </w:r>
      <w:r w:rsidR="00775A21">
        <w:rPr>
          <w:rFonts w:ascii="Times New Roman" w:hAnsi="Times New Roman" w:cs="Times New Roman"/>
          <w:b/>
          <w:bCs/>
          <w:color w:val="auto"/>
          <w:sz w:val="22"/>
          <w:szCs w:val="22"/>
        </w:rPr>
        <w:t>monitoringu</w:t>
      </w:r>
      <w:r w:rsidRPr="00914C3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</w:p>
    <w:p w14:paraId="6590A7C1" w14:textId="77777777" w:rsidR="00271A21" w:rsidRPr="00914C3C" w:rsidRDefault="00271A21" w:rsidP="00EE08C7">
      <w:pPr>
        <w:pStyle w:val="Default"/>
        <w:numPr>
          <w:ilvl w:val="0"/>
          <w:numId w:val="9"/>
        </w:numPr>
        <w:spacing w:before="240" w:after="162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nepřetržitý dohled 24x7x365 nad monitorovanými prvky sítě </w:t>
      </w:r>
    </w:p>
    <w:p w14:paraId="79808481" w14:textId="33DB3709" w:rsidR="00271A21" w:rsidRDefault="00271A2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vše zobrazeno přes webový prohlížeč </w:t>
      </w:r>
    </w:p>
    <w:p w14:paraId="7BDB2C4F" w14:textId="20DC7E7D" w:rsidR="001F2FD1" w:rsidRPr="00914C3C" w:rsidRDefault="001F2FD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1F2FD1">
        <w:rPr>
          <w:rFonts w:ascii="Times New Roman" w:hAnsi="Times New Roman" w:cs="Times New Roman"/>
          <w:color w:val="auto"/>
          <w:sz w:val="22"/>
          <w:szCs w:val="22"/>
        </w:rPr>
        <w:t>odpora monitoringu a logování provozu za účelem dohledatelnosti veřejného provozu</w:t>
      </w:r>
    </w:p>
    <w:p w14:paraId="5268508F" w14:textId="77777777" w:rsidR="00271A21" w:rsidRPr="00914C3C" w:rsidRDefault="00271A2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celkové přenosy (traffic in/out) </w:t>
      </w:r>
    </w:p>
    <w:p w14:paraId="06E755FE" w14:textId="77777777" w:rsidR="00271A21" w:rsidRPr="00914C3C" w:rsidRDefault="00271A2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chybovost na rozhraních routerů (errors in/out) </w:t>
      </w:r>
    </w:p>
    <w:p w14:paraId="73DAB528" w14:textId="77777777" w:rsidR="00271A21" w:rsidRPr="00914C3C" w:rsidRDefault="00271A2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statistiky tříd QoS (traffic, drops) </w:t>
      </w:r>
    </w:p>
    <w:p w14:paraId="2864AF1A" w14:textId="77777777" w:rsidR="00271A21" w:rsidRPr="00914C3C" w:rsidRDefault="00271A21" w:rsidP="00693801">
      <w:pPr>
        <w:pStyle w:val="Default"/>
        <w:numPr>
          <w:ilvl w:val="0"/>
          <w:numId w:val="12"/>
        </w:numPr>
        <w:spacing w:after="164"/>
        <w:rPr>
          <w:rFonts w:ascii="Times New Roman" w:hAnsi="Times New Roman" w:cs="Times New Roman"/>
          <w:color w:val="auto"/>
          <w:sz w:val="22"/>
          <w:szCs w:val="22"/>
        </w:rPr>
      </w:pP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stav </w:t>
      </w:r>
      <w:r w:rsidR="00EE08C7">
        <w:rPr>
          <w:rFonts w:ascii="Times New Roman" w:hAnsi="Times New Roman" w:cs="Times New Roman"/>
          <w:color w:val="auto"/>
          <w:sz w:val="22"/>
          <w:szCs w:val="22"/>
        </w:rPr>
        <w:t>trasy</w:t>
      </w:r>
      <w:r w:rsidRPr="00914C3C">
        <w:rPr>
          <w:rFonts w:ascii="Times New Roman" w:hAnsi="Times New Roman" w:cs="Times New Roman"/>
          <w:color w:val="auto"/>
          <w:sz w:val="22"/>
          <w:szCs w:val="22"/>
        </w:rPr>
        <w:t xml:space="preserve"> (down/up) </w:t>
      </w:r>
    </w:p>
    <w:p w14:paraId="399E3DC1" w14:textId="77777777" w:rsidR="00271A21" w:rsidRDefault="00271A21" w:rsidP="00271A21">
      <w:pPr>
        <w:pStyle w:val="Default"/>
        <w:rPr>
          <w:color w:val="auto"/>
          <w:sz w:val="22"/>
          <w:szCs w:val="22"/>
        </w:rPr>
      </w:pPr>
    </w:p>
    <w:p w14:paraId="06B3EFA1" w14:textId="77777777" w:rsidR="00EE08C7" w:rsidRDefault="00775A21" w:rsidP="00775A21">
      <w:pPr>
        <w:jc w:val="both"/>
      </w:pPr>
      <w:r w:rsidRPr="000A3A76">
        <w:t>V případě n</w:t>
      </w:r>
      <w:r w:rsidR="00EE08C7" w:rsidRPr="000A3A76">
        <w:t>edostupnost</w:t>
      </w:r>
      <w:r w:rsidRPr="000A3A76">
        <w:t>i</w:t>
      </w:r>
      <w:r w:rsidR="00EE08C7" w:rsidRPr="000A3A76">
        <w:t xml:space="preserve"> </w:t>
      </w:r>
      <w:r>
        <w:t xml:space="preserve">monitoringu bude </w:t>
      </w:r>
      <w:r w:rsidR="000A3A76">
        <w:t>doba výpadku považována za výpadek všech poskytovaných služeb v rozsahu celé sítě.</w:t>
      </w:r>
    </w:p>
    <w:p w14:paraId="3FFCB726" w14:textId="77777777" w:rsidR="009237D8" w:rsidRDefault="009237D8" w:rsidP="00775A21">
      <w:pPr>
        <w:jc w:val="both"/>
      </w:pPr>
    </w:p>
    <w:p w14:paraId="5D0B0777" w14:textId="77777777" w:rsidR="00BE2D61" w:rsidRDefault="00BE2D61" w:rsidP="00BE2D61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Hlášení závad</w:t>
      </w:r>
      <w:r w:rsidR="004B7F03">
        <w:rPr>
          <w:rFonts w:eastAsia="Times New Roman"/>
          <w:lang w:eastAsia="cs-CZ"/>
        </w:rPr>
        <w:t xml:space="preserve"> a poruch</w:t>
      </w:r>
    </w:p>
    <w:p w14:paraId="695C76C8" w14:textId="3AB4DEE4" w:rsidR="00840A65" w:rsidRDefault="00840A65" w:rsidP="00BE2D61">
      <w:pPr>
        <w:spacing w:after="120"/>
        <w:jc w:val="both"/>
        <w:textAlignment w:val="center"/>
        <w:rPr>
          <w:rFonts w:eastAsia="Times New Roman"/>
          <w:lang w:eastAsia="cs-CZ"/>
        </w:rPr>
      </w:pPr>
    </w:p>
    <w:p w14:paraId="0B2A5832" w14:textId="0FDC3356" w:rsidR="00BE2D61" w:rsidRDefault="00BE2D61" w:rsidP="00BE2D61">
      <w:pPr>
        <w:spacing w:after="120"/>
        <w:jc w:val="both"/>
        <w:textAlignment w:val="center"/>
        <w:rPr>
          <w:rFonts w:eastAsia="Times New Roman"/>
          <w:lang w:eastAsia="cs-CZ"/>
        </w:rPr>
      </w:pPr>
      <w:r w:rsidRPr="00BE2D61">
        <w:rPr>
          <w:rFonts w:eastAsia="Times New Roman"/>
          <w:lang w:eastAsia="cs-CZ"/>
        </w:rPr>
        <w:t xml:space="preserve"> </w:t>
      </w:r>
      <w:r w:rsidR="00840A65" w:rsidRPr="00840A65">
        <w:rPr>
          <w:rFonts w:eastAsia="Times New Roman"/>
          <w:lang w:eastAsia="cs-CZ"/>
        </w:rPr>
        <w:t xml:space="preserve">Poskytovatel </w:t>
      </w:r>
      <w:r w:rsidR="00D71DB5">
        <w:rPr>
          <w:rFonts w:eastAsia="Times New Roman"/>
          <w:lang w:eastAsia="cs-CZ"/>
        </w:rPr>
        <w:t xml:space="preserve">je povinen </w:t>
      </w:r>
      <w:r w:rsidR="00F273CF">
        <w:rPr>
          <w:rFonts w:eastAsia="Times New Roman"/>
          <w:lang w:eastAsia="cs-CZ"/>
        </w:rPr>
        <w:t xml:space="preserve">vykonávat po celou dobu účinnosti smlouvy o dílo </w:t>
      </w:r>
      <w:r w:rsidR="00840A65" w:rsidRPr="00840A65">
        <w:rPr>
          <w:rFonts w:eastAsia="Times New Roman"/>
          <w:lang w:eastAsia="cs-CZ"/>
        </w:rPr>
        <w:t xml:space="preserve">aktivní monitoring </w:t>
      </w:r>
      <w:r w:rsidR="00F273CF">
        <w:rPr>
          <w:rFonts w:eastAsia="Times New Roman"/>
          <w:lang w:eastAsia="cs-CZ"/>
        </w:rPr>
        <w:t>poskytované služby</w:t>
      </w:r>
      <w:r w:rsidR="00840A65" w:rsidRPr="00840A65">
        <w:rPr>
          <w:rFonts w:eastAsia="Times New Roman"/>
          <w:lang w:eastAsia="cs-CZ"/>
        </w:rPr>
        <w:t xml:space="preserve"> s reakční dobou 30 minut v případě výpadku služby, aniž by </w:t>
      </w:r>
      <w:r w:rsidR="00F273CF">
        <w:rPr>
          <w:rFonts w:eastAsia="Times New Roman"/>
          <w:lang w:eastAsia="cs-CZ"/>
        </w:rPr>
        <w:t>objednatel</w:t>
      </w:r>
      <w:r w:rsidR="00840A65" w:rsidRPr="00840A65">
        <w:rPr>
          <w:rFonts w:eastAsia="Times New Roman"/>
          <w:lang w:eastAsia="cs-CZ"/>
        </w:rPr>
        <w:t xml:space="preserve"> takový výpadek hlásil. Tento systém může být v průběhu trvání poskytování služby </w:t>
      </w:r>
      <w:r w:rsidR="00F273CF">
        <w:rPr>
          <w:rFonts w:eastAsia="Times New Roman"/>
          <w:lang w:eastAsia="cs-CZ"/>
        </w:rPr>
        <w:t>objednatelem</w:t>
      </w:r>
      <w:r w:rsidR="00F273CF" w:rsidRPr="00840A65">
        <w:rPr>
          <w:rFonts w:eastAsia="Times New Roman"/>
          <w:lang w:eastAsia="cs-CZ"/>
        </w:rPr>
        <w:t xml:space="preserve"> </w:t>
      </w:r>
      <w:r w:rsidR="00840A65" w:rsidRPr="00840A65">
        <w:rPr>
          <w:rFonts w:eastAsia="Times New Roman"/>
          <w:lang w:eastAsia="cs-CZ"/>
        </w:rPr>
        <w:t>kdykoli otestován.</w:t>
      </w:r>
    </w:p>
    <w:p w14:paraId="72862238" w14:textId="77777777" w:rsidR="009237D8" w:rsidRPr="00BE2D61" w:rsidRDefault="009237D8" w:rsidP="00BE2D61">
      <w:pPr>
        <w:spacing w:after="120"/>
        <w:jc w:val="both"/>
        <w:textAlignment w:val="center"/>
        <w:rPr>
          <w:rFonts w:eastAsia="Times New Roman"/>
          <w:lang w:eastAsia="cs-CZ"/>
        </w:rPr>
      </w:pPr>
    </w:p>
    <w:p w14:paraId="1EDBB70E" w14:textId="77777777" w:rsidR="00271A21" w:rsidRPr="00271A21" w:rsidRDefault="00271A21" w:rsidP="00EE08C7">
      <w:pPr>
        <w:pStyle w:val="Nadpis1"/>
      </w:pPr>
      <w:r w:rsidRPr="00271A21">
        <w:t>Zprovoznění</w:t>
      </w:r>
      <w:r w:rsidR="00E67AB5">
        <w:t xml:space="preserve"> služby </w:t>
      </w:r>
      <w:r>
        <w:t>internetové</w:t>
      </w:r>
      <w:r w:rsidRPr="00271A21">
        <w:t xml:space="preserve"> konektivity </w:t>
      </w:r>
    </w:p>
    <w:p w14:paraId="6E0A5F89" w14:textId="3D194CCE" w:rsidR="00BE2D61" w:rsidRDefault="00D71DB5" w:rsidP="00BE2D61">
      <w:pPr>
        <w:spacing w:before="240" w:after="120"/>
        <w:jc w:val="both"/>
        <w:textAlignment w:val="center"/>
        <w:rPr>
          <w:lang w:eastAsia="cs-CZ"/>
        </w:rPr>
      </w:pPr>
      <w:r>
        <w:rPr>
          <w:lang w:eastAsia="cs-CZ"/>
        </w:rPr>
        <w:t>Poskytovatel poskytne objednateli</w:t>
      </w:r>
      <w:r w:rsidR="00BE2D61" w:rsidRPr="00674BF2">
        <w:rPr>
          <w:lang w:eastAsia="cs-CZ"/>
        </w:rPr>
        <w:t xml:space="preserve"> </w:t>
      </w:r>
      <w:r w:rsidR="00EF613D">
        <w:rPr>
          <w:lang w:eastAsia="cs-CZ"/>
        </w:rPr>
        <w:t xml:space="preserve">funkční </w:t>
      </w:r>
      <w:r w:rsidR="00BE2D61" w:rsidRPr="00674BF2">
        <w:rPr>
          <w:lang w:eastAsia="cs-CZ"/>
        </w:rPr>
        <w:t>konfiguraci</w:t>
      </w:r>
      <w:r w:rsidR="00EF613D">
        <w:rPr>
          <w:lang w:eastAsia="cs-CZ"/>
        </w:rPr>
        <w:t xml:space="preserve"> (POC)</w:t>
      </w:r>
      <w:r w:rsidR="00BE2D61" w:rsidRPr="00674BF2">
        <w:rPr>
          <w:lang w:eastAsia="cs-CZ"/>
        </w:rPr>
        <w:t xml:space="preserve"> minimálně </w:t>
      </w:r>
      <w:r w:rsidR="00880D57">
        <w:rPr>
          <w:lang w:eastAsia="cs-CZ"/>
        </w:rPr>
        <w:t>2</w:t>
      </w:r>
      <w:r w:rsidR="00BE2D61" w:rsidRPr="00674BF2">
        <w:rPr>
          <w:lang w:eastAsia="cs-CZ"/>
        </w:rPr>
        <w:t xml:space="preserve"> dn</w:t>
      </w:r>
      <w:r w:rsidR="00880D57">
        <w:rPr>
          <w:lang w:eastAsia="cs-CZ"/>
        </w:rPr>
        <w:t>y</w:t>
      </w:r>
      <w:r w:rsidR="00BE2D61" w:rsidRPr="00674BF2">
        <w:rPr>
          <w:lang w:eastAsia="cs-CZ"/>
        </w:rPr>
        <w:t xml:space="preserve"> před finálním termínem </w:t>
      </w:r>
      <w:r>
        <w:rPr>
          <w:lang w:eastAsia="cs-CZ"/>
        </w:rPr>
        <w:t xml:space="preserve">zahájení </w:t>
      </w:r>
      <w:r w:rsidR="00BE2D61" w:rsidRPr="00674BF2">
        <w:rPr>
          <w:lang w:eastAsia="cs-CZ"/>
        </w:rPr>
        <w:t>poskytování služby</w:t>
      </w:r>
      <w:r>
        <w:rPr>
          <w:lang w:eastAsia="cs-CZ"/>
        </w:rPr>
        <w:t xml:space="preserve"> podle smlouvy o dílo</w:t>
      </w:r>
      <w:r w:rsidR="00BE2D61" w:rsidRPr="00674BF2">
        <w:rPr>
          <w:lang w:eastAsia="cs-CZ"/>
        </w:rPr>
        <w:t>, a to především pro zajištění bezproblémového přechodu od stávajícího poskytovatele. Po uplynutí zkušební doby bude oběma stranami sepsán předávací protokol o provozuschopnosti nabízených služeb.</w:t>
      </w:r>
    </w:p>
    <w:p w14:paraId="1F00079A" w14:textId="4E630446" w:rsidR="00BE2D61" w:rsidRDefault="00D71DB5" w:rsidP="00BE2D61">
      <w:pPr>
        <w:spacing w:after="120"/>
        <w:jc w:val="both"/>
        <w:textAlignment w:val="center"/>
        <w:rPr>
          <w:lang w:eastAsia="cs-CZ"/>
        </w:rPr>
      </w:pPr>
      <w:r>
        <w:rPr>
          <w:lang w:eastAsia="cs-CZ"/>
        </w:rPr>
        <w:t xml:space="preserve">Poskytovatel </w:t>
      </w:r>
      <w:r w:rsidR="00BE2D61">
        <w:rPr>
          <w:lang w:eastAsia="cs-CZ"/>
        </w:rPr>
        <w:t xml:space="preserve">je povinen do </w:t>
      </w:r>
      <w:r w:rsidR="00BB2F13">
        <w:rPr>
          <w:lang w:eastAsia="cs-CZ"/>
        </w:rPr>
        <w:t>7</w:t>
      </w:r>
      <w:r w:rsidR="00BE2D61">
        <w:rPr>
          <w:lang w:eastAsia="cs-CZ"/>
        </w:rPr>
        <w:t xml:space="preserve"> dnů od podpisu smlouvy </w:t>
      </w:r>
      <w:r>
        <w:rPr>
          <w:lang w:eastAsia="cs-CZ"/>
        </w:rPr>
        <w:t xml:space="preserve">o dílo </w:t>
      </w:r>
      <w:r w:rsidR="00BE2D61">
        <w:rPr>
          <w:lang w:eastAsia="cs-CZ"/>
        </w:rPr>
        <w:t xml:space="preserve">předat </w:t>
      </w:r>
      <w:r>
        <w:rPr>
          <w:lang w:eastAsia="cs-CZ"/>
        </w:rPr>
        <w:t xml:space="preserve">objednateli </w:t>
      </w:r>
      <w:r w:rsidR="00BE2D61">
        <w:rPr>
          <w:lang w:eastAsia="cs-CZ"/>
        </w:rPr>
        <w:t>časový harmonogram</w:t>
      </w:r>
      <w:r w:rsidR="00BB2F13">
        <w:rPr>
          <w:lang w:eastAsia="cs-CZ"/>
        </w:rPr>
        <w:t xml:space="preserve"> plnění</w:t>
      </w:r>
      <w:r w:rsidR="00BE2D61">
        <w:rPr>
          <w:lang w:eastAsia="cs-CZ"/>
        </w:rPr>
        <w:t xml:space="preserve">. </w:t>
      </w:r>
    </w:p>
    <w:p w14:paraId="5F306A19" w14:textId="77777777" w:rsidR="009237D8" w:rsidRPr="00674BF2" w:rsidRDefault="009237D8" w:rsidP="00BE2D61">
      <w:pPr>
        <w:spacing w:after="120"/>
        <w:jc w:val="both"/>
        <w:textAlignment w:val="center"/>
        <w:rPr>
          <w:lang w:eastAsia="cs-CZ"/>
        </w:rPr>
      </w:pPr>
    </w:p>
    <w:p w14:paraId="4AA33B52" w14:textId="77777777" w:rsidR="005E56BB" w:rsidRDefault="00271A21" w:rsidP="005E56BB">
      <w:pPr>
        <w:pStyle w:val="Nadpis1"/>
      </w:pPr>
      <w:r w:rsidRPr="00271A21">
        <w:lastRenderedPageBreak/>
        <w:t>Povinnosti dodavatele před skončením platnosti smlouvy</w:t>
      </w:r>
    </w:p>
    <w:p w14:paraId="7E25F6BC" w14:textId="0B534610" w:rsidR="005E56BB" w:rsidRPr="005E56BB" w:rsidRDefault="00D71DB5" w:rsidP="005E56BB">
      <w:pPr>
        <w:pStyle w:val="Nadpis1"/>
        <w:numPr>
          <w:ilvl w:val="0"/>
          <w:numId w:val="0"/>
        </w:numPr>
        <w:jc w:val="both"/>
        <w:rPr>
          <w:rFonts w:eastAsiaTheme="minorHAnsi" w:cstheme="minorBidi"/>
          <w:b w:val="0"/>
          <w:bCs w:val="0"/>
          <w:sz w:val="22"/>
          <w:szCs w:val="22"/>
          <w:lang w:eastAsia="cs-CZ"/>
        </w:rPr>
      </w:pPr>
      <w:r>
        <w:rPr>
          <w:rFonts w:eastAsiaTheme="minorHAnsi" w:cstheme="minorBidi"/>
          <w:b w:val="0"/>
          <w:bCs w:val="0"/>
          <w:sz w:val="22"/>
          <w:szCs w:val="22"/>
          <w:lang w:eastAsia="cs-CZ"/>
        </w:rPr>
        <w:t>Poskytovatel</w:t>
      </w:r>
      <w:r w:rsidRPr="005E56BB">
        <w:rPr>
          <w:rFonts w:eastAsiaTheme="minorHAnsi" w:cstheme="minorBidi"/>
          <w:b w:val="0"/>
          <w:bCs w:val="0"/>
          <w:sz w:val="22"/>
          <w:szCs w:val="22"/>
          <w:lang w:eastAsia="cs-CZ"/>
        </w:rPr>
        <w:t xml:space="preserve"> </w:t>
      </w:r>
      <w:r w:rsidR="005E56BB" w:rsidRPr="005E56BB">
        <w:rPr>
          <w:rFonts w:eastAsiaTheme="minorHAnsi" w:cstheme="minorBidi"/>
          <w:b w:val="0"/>
          <w:bCs w:val="0"/>
          <w:sz w:val="22"/>
          <w:szCs w:val="22"/>
          <w:lang w:eastAsia="cs-CZ"/>
        </w:rPr>
        <w:t xml:space="preserve">se zavazuje poskytnout plnou podporu při případné migraci prostředí k jinému poskytovateli služeb. </w:t>
      </w:r>
      <w:r>
        <w:rPr>
          <w:rFonts w:eastAsiaTheme="minorHAnsi" w:cstheme="minorBidi"/>
          <w:b w:val="0"/>
          <w:bCs w:val="0"/>
          <w:sz w:val="22"/>
          <w:szCs w:val="22"/>
          <w:lang w:eastAsia="cs-CZ"/>
        </w:rPr>
        <w:t xml:space="preserve">Poskytovatel </w:t>
      </w:r>
      <w:r w:rsidR="005E56BB" w:rsidRPr="005E56BB">
        <w:rPr>
          <w:rFonts w:eastAsiaTheme="minorHAnsi" w:cstheme="minorBidi"/>
          <w:b w:val="0"/>
          <w:bCs w:val="0"/>
          <w:sz w:val="22"/>
          <w:szCs w:val="22"/>
          <w:lang w:eastAsia="cs-CZ"/>
        </w:rPr>
        <w:t>je dále povinen poskytnout maximální možnou součinnost třetí straně v případě, že bude po skončení tohoto smluvního vztahu vybrán nový poskytovatel služeb tak, aby dostal všechny potřebné informace, data atd., která jsou nutná pro zprovoznění všech služeb objednatele</w:t>
      </w:r>
    </w:p>
    <w:p w14:paraId="4A343CE3" w14:textId="6C58FCDB" w:rsidR="005E56BB" w:rsidRDefault="00271A21" w:rsidP="005E56BB">
      <w:pPr>
        <w:pStyle w:val="Nadpis1"/>
      </w:pPr>
      <w:r w:rsidRPr="00271A21">
        <w:t xml:space="preserve"> </w:t>
      </w:r>
      <w:r w:rsidR="005E56BB">
        <w:t>GDPR</w:t>
      </w:r>
    </w:p>
    <w:p w14:paraId="2CE95E83" w14:textId="44012E95" w:rsidR="005E56BB" w:rsidRPr="005E56BB" w:rsidRDefault="00D71DB5" w:rsidP="005E56BB">
      <w:r>
        <w:t>Poskytovatel</w:t>
      </w:r>
      <w:r w:rsidRPr="005E56BB">
        <w:t xml:space="preserve"> </w:t>
      </w:r>
      <w:r w:rsidR="005E56BB" w:rsidRPr="005E56BB">
        <w:t xml:space="preserve">bude povinen zajistit mlčenlivost a ochranu dat </w:t>
      </w:r>
      <w:r w:rsidR="005E56BB">
        <w:t>klientů</w:t>
      </w:r>
      <w:r w:rsidR="005E56BB" w:rsidRPr="005E56BB">
        <w:t xml:space="preserve"> a zaměstnanců </w:t>
      </w:r>
      <w:r>
        <w:t>objednatele</w:t>
      </w:r>
      <w:r w:rsidRPr="005E56BB">
        <w:t xml:space="preserve"> </w:t>
      </w:r>
      <w:r w:rsidR="005E56BB" w:rsidRPr="005E56BB">
        <w:t>během práce servisního technika na místě nebo, při vzdáleném přístupu s přihlédnutím k GDPR.</w:t>
      </w:r>
    </w:p>
    <w:p w14:paraId="791DB51E" w14:textId="554D71D2" w:rsidR="00271A21" w:rsidRDefault="00271A21" w:rsidP="002C6908">
      <w:pPr>
        <w:pStyle w:val="Default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1A2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BA37CA" w14:textId="77777777" w:rsidR="00854617" w:rsidRDefault="00854617" w:rsidP="00BE2D61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sectPr w:rsidR="00854617" w:rsidSect="00014FBF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944B" w14:textId="77777777" w:rsidR="001824E5" w:rsidRDefault="001824E5" w:rsidP="00781DB9">
      <w:pPr>
        <w:spacing w:after="0" w:line="240" w:lineRule="auto"/>
      </w:pPr>
      <w:r>
        <w:separator/>
      </w:r>
    </w:p>
  </w:endnote>
  <w:endnote w:type="continuationSeparator" w:id="0">
    <w:p w14:paraId="483D6106" w14:textId="77777777" w:rsidR="001824E5" w:rsidRDefault="001824E5" w:rsidP="0078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24BE" w14:textId="77777777" w:rsidR="001824E5" w:rsidRDefault="001824E5" w:rsidP="00781DB9">
      <w:pPr>
        <w:spacing w:after="0" w:line="240" w:lineRule="auto"/>
      </w:pPr>
      <w:r>
        <w:separator/>
      </w:r>
    </w:p>
  </w:footnote>
  <w:footnote w:type="continuationSeparator" w:id="0">
    <w:p w14:paraId="579287BA" w14:textId="77777777" w:rsidR="001824E5" w:rsidRDefault="001824E5" w:rsidP="0078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ABD1" w14:textId="77777777" w:rsidR="00781DB9" w:rsidRDefault="00781DB9" w:rsidP="00740252">
    <w:pPr>
      <w:pStyle w:val="Zhlav"/>
    </w:pPr>
    <w:r w:rsidRPr="00014FBF">
      <w:rPr>
        <w:i/>
      </w:rPr>
      <w:t xml:space="preserve">Příloha </w:t>
    </w:r>
    <w:r w:rsidR="00014FBF" w:rsidRPr="00014FBF">
      <w:rPr>
        <w:i/>
      </w:rPr>
      <w:t xml:space="preserve">Smlouvy o dílo </w:t>
    </w:r>
    <w:r w:rsidRPr="00014FBF">
      <w:rPr>
        <w:i/>
      </w:rPr>
      <w:t xml:space="preserve">č. </w:t>
    </w:r>
    <w:r w:rsidR="004C02BF" w:rsidRPr="00014FBF">
      <w:rPr>
        <w:i/>
      </w:rPr>
      <w:t>2</w:t>
    </w:r>
    <w:r w:rsidRPr="00014FBF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C1"/>
    <w:multiLevelType w:val="hybridMultilevel"/>
    <w:tmpl w:val="54E42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CD9"/>
    <w:multiLevelType w:val="hybridMultilevel"/>
    <w:tmpl w:val="5B8A4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131"/>
    <w:multiLevelType w:val="hybridMultilevel"/>
    <w:tmpl w:val="3BB28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2AF"/>
    <w:multiLevelType w:val="hybridMultilevel"/>
    <w:tmpl w:val="94FC2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901"/>
    <w:multiLevelType w:val="hybridMultilevel"/>
    <w:tmpl w:val="2290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01E5B"/>
    <w:multiLevelType w:val="hybridMultilevel"/>
    <w:tmpl w:val="57387DF2"/>
    <w:lvl w:ilvl="0" w:tplc="CE68FB8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2B16"/>
    <w:multiLevelType w:val="hybridMultilevel"/>
    <w:tmpl w:val="3662A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4189"/>
    <w:multiLevelType w:val="hybridMultilevel"/>
    <w:tmpl w:val="F0F8E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0337"/>
    <w:multiLevelType w:val="hybridMultilevel"/>
    <w:tmpl w:val="E766C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16E5E"/>
    <w:multiLevelType w:val="hybridMultilevel"/>
    <w:tmpl w:val="9D289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0ADC"/>
    <w:multiLevelType w:val="hybridMultilevel"/>
    <w:tmpl w:val="730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121A"/>
    <w:multiLevelType w:val="hybridMultilevel"/>
    <w:tmpl w:val="E45E9A44"/>
    <w:lvl w:ilvl="0" w:tplc="30A81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555AA"/>
    <w:multiLevelType w:val="hybridMultilevel"/>
    <w:tmpl w:val="BE62588C"/>
    <w:lvl w:ilvl="0" w:tplc="8D461E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765E3"/>
    <w:multiLevelType w:val="hybridMultilevel"/>
    <w:tmpl w:val="FB7AF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C05EB"/>
    <w:multiLevelType w:val="hybridMultilevel"/>
    <w:tmpl w:val="940C1DA2"/>
    <w:lvl w:ilvl="0" w:tplc="7E14413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F20A0"/>
    <w:multiLevelType w:val="hybridMultilevel"/>
    <w:tmpl w:val="C186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CD"/>
    <w:multiLevelType w:val="hybridMultilevel"/>
    <w:tmpl w:val="95DED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A656A"/>
    <w:multiLevelType w:val="hybridMultilevel"/>
    <w:tmpl w:val="C72EE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79859">
    <w:abstractNumId w:val="3"/>
  </w:num>
  <w:num w:numId="2" w16cid:durableId="906379408">
    <w:abstractNumId w:val="5"/>
  </w:num>
  <w:num w:numId="3" w16cid:durableId="503474413">
    <w:abstractNumId w:val="0"/>
  </w:num>
  <w:num w:numId="4" w16cid:durableId="903105831">
    <w:abstractNumId w:val="2"/>
  </w:num>
  <w:num w:numId="5" w16cid:durableId="693726893">
    <w:abstractNumId w:val="17"/>
  </w:num>
  <w:num w:numId="6" w16cid:durableId="36005447">
    <w:abstractNumId w:val="4"/>
  </w:num>
  <w:num w:numId="7" w16cid:durableId="730032773">
    <w:abstractNumId w:val="1"/>
  </w:num>
  <w:num w:numId="8" w16cid:durableId="1189029090">
    <w:abstractNumId w:val="9"/>
  </w:num>
  <w:num w:numId="9" w16cid:durableId="686366045">
    <w:abstractNumId w:val="7"/>
  </w:num>
  <w:num w:numId="10" w16cid:durableId="27418269">
    <w:abstractNumId w:val="8"/>
  </w:num>
  <w:num w:numId="11" w16cid:durableId="517358024">
    <w:abstractNumId w:val="16"/>
  </w:num>
  <w:num w:numId="12" w16cid:durableId="477303596">
    <w:abstractNumId w:val="13"/>
  </w:num>
  <w:num w:numId="13" w16cid:durableId="1169365870">
    <w:abstractNumId w:val="15"/>
  </w:num>
  <w:num w:numId="14" w16cid:durableId="1579944753">
    <w:abstractNumId w:val="12"/>
  </w:num>
  <w:num w:numId="15" w16cid:durableId="1719354530">
    <w:abstractNumId w:val="11"/>
  </w:num>
  <w:num w:numId="16" w16cid:durableId="1109088702">
    <w:abstractNumId w:val="10"/>
  </w:num>
  <w:num w:numId="17" w16cid:durableId="25034767">
    <w:abstractNumId w:val="14"/>
  </w:num>
  <w:num w:numId="18" w16cid:durableId="24672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8F"/>
    <w:rsid w:val="00006A44"/>
    <w:rsid w:val="00014FBF"/>
    <w:rsid w:val="00016E04"/>
    <w:rsid w:val="00081B61"/>
    <w:rsid w:val="000A3A76"/>
    <w:rsid w:val="000B5981"/>
    <w:rsid w:val="000C2DBB"/>
    <w:rsid w:val="000D094A"/>
    <w:rsid w:val="000D5DA8"/>
    <w:rsid w:val="000D7236"/>
    <w:rsid w:val="001030B9"/>
    <w:rsid w:val="001824E5"/>
    <w:rsid w:val="001D1826"/>
    <w:rsid w:val="001F2FD1"/>
    <w:rsid w:val="00271A21"/>
    <w:rsid w:val="00291FDE"/>
    <w:rsid w:val="002C0FC7"/>
    <w:rsid w:val="002C6908"/>
    <w:rsid w:val="0033131A"/>
    <w:rsid w:val="00392879"/>
    <w:rsid w:val="00430DBD"/>
    <w:rsid w:val="00435C1A"/>
    <w:rsid w:val="0044552D"/>
    <w:rsid w:val="00446240"/>
    <w:rsid w:val="00451A20"/>
    <w:rsid w:val="00484A35"/>
    <w:rsid w:val="004B7F03"/>
    <w:rsid w:val="004C02BF"/>
    <w:rsid w:val="004D3A41"/>
    <w:rsid w:val="004E61D2"/>
    <w:rsid w:val="004F2D2C"/>
    <w:rsid w:val="004F6DD1"/>
    <w:rsid w:val="005267B1"/>
    <w:rsid w:val="00593C8D"/>
    <w:rsid w:val="005E0E92"/>
    <w:rsid w:val="005E56BB"/>
    <w:rsid w:val="005E62C2"/>
    <w:rsid w:val="00657DCD"/>
    <w:rsid w:val="00693801"/>
    <w:rsid w:val="006E52FA"/>
    <w:rsid w:val="0071423D"/>
    <w:rsid w:val="007323D4"/>
    <w:rsid w:val="00740252"/>
    <w:rsid w:val="007617FD"/>
    <w:rsid w:val="00775A21"/>
    <w:rsid w:val="00781DB9"/>
    <w:rsid w:val="00840A65"/>
    <w:rsid w:val="00854617"/>
    <w:rsid w:val="00870155"/>
    <w:rsid w:val="00880D57"/>
    <w:rsid w:val="00914C3C"/>
    <w:rsid w:val="009237D8"/>
    <w:rsid w:val="0092398F"/>
    <w:rsid w:val="009A24CC"/>
    <w:rsid w:val="00A563D3"/>
    <w:rsid w:val="00AC4950"/>
    <w:rsid w:val="00B00CC9"/>
    <w:rsid w:val="00B3673C"/>
    <w:rsid w:val="00BB2F13"/>
    <w:rsid w:val="00BB49DD"/>
    <w:rsid w:val="00BC7F34"/>
    <w:rsid w:val="00BE2D61"/>
    <w:rsid w:val="00BF748A"/>
    <w:rsid w:val="00C20EAA"/>
    <w:rsid w:val="00C56A73"/>
    <w:rsid w:val="00C7503C"/>
    <w:rsid w:val="00D71DB5"/>
    <w:rsid w:val="00DE37FE"/>
    <w:rsid w:val="00DE5026"/>
    <w:rsid w:val="00E67AB5"/>
    <w:rsid w:val="00E91F7A"/>
    <w:rsid w:val="00E95A94"/>
    <w:rsid w:val="00EE08C7"/>
    <w:rsid w:val="00EF613D"/>
    <w:rsid w:val="00F14043"/>
    <w:rsid w:val="00F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8B2B8"/>
  <w15:docId w15:val="{6D7C3BBC-67E7-4C0A-87B4-F52E649B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B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91FDE"/>
    <w:pPr>
      <w:keepNext/>
      <w:keepLines/>
      <w:numPr>
        <w:numId w:val="17"/>
      </w:numPr>
      <w:spacing w:before="360" w:after="12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DB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81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DB9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D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1A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DD1"/>
    <w:pPr>
      <w:ind w:left="720"/>
      <w:contextualSpacing/>
    </w:pPr>
  </w:style>
  <w:style w:type="character" w:styleId="Hypertextovodkaz">
    <w:name w:val="Hyperlink"/>
    <w:uiPriority w:val="99"/>
    <w:unhideWhenUsed/>
    <w:rsid w:val="000D094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91FDE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484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A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A3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A35"/>
    <w:rPr>
      <w:rFonts w:ascii="Times New Roman" w:hAnsi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1D1826"/>
    <w:rPr>
      <w:color w:val="808080"/>
    </w:rPr>
  </w:style>
  <w:style w:type="paragraph" w:styleId="Revize">
    <w:name w:val="Revision"/>
    <w:hidden/>
    <w:uiPriority w:val="99"/>
    <w:semiHidden/>
    <w:rsid w:val="00BF748A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4FD2-6570-49DB-9547-A243CA3A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594</Words>
  <Characters>3678</Characters>
  <Application>Microsoft Office Word</Application>
  <DocSecurity>0</DocSecurity>
  <Lines>89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Klepáčková, Kateřina</dc:creator>
  <cp:lastModifiedBy>Jiří Krotil</cp:lastModifiedBy>
  <cp:revision>5</cp:revision>
  <dcterms:created xsi:type="dcterms:W3CDTF">2022-02-08T14:50:00Z</dcterms:created>
  <dcterms:modified xsi:type="dcterms:W3CDTF">2026-03-16T16:58:00Z</dcterms:modified>
</cp:coreProperties>
</file>